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kix.p20ogcyropz9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/>
      </w:pPr>
      <w:bookmarkStart w:colFirst="0" w:colLast="0" w:name="_heading=h.k5sfd5hlzkjg" w:id="1"/>
      <w:bookmarkEnd w:id="1"/>
      <w:r w:rsidDel="00000000" w:rsidR="00000000" w:rsidRPr="00000000">
        <w:rPr>
          <w:b w:val="1"/>
          <w:bCs w:val="1"/>
          <w:rtl w:val="0"/>
        </w:rPr>
        <w:t xml:space="preserve">PROGRAMMA GESTIONALE E SPORTIVO</w:t>
      </w:r>
      <w:r w:rsidDel="00000000" w:rsidR="00000000" w:rsidRPr="00000000">
        <w:rPr>
          <w:rtl w:val="0"/>
        </w:rPr>
      </w:r>
    </w:p>
    <w:bookmarkStart w:colFirst="0" w:colLast="0" w:name="bookmark=kix.mgf0qzynhptz" w:id="2"/>
    <w:bookmarkEnd w:id="2"/>
    <w:p w:rsidR="00000000" w:rsidDel="00000000" w:rsidP="00000000" w:rsidRDefault="00000000" w:rsidRPr="00000000" w14:paraId="00000002">
      <w:pPr>
        <w:pStyle w:val="Heading2"/>
        <w:spacing w:after="0" w:before="0" w:line="276" w:lineRule="auto"/>
        <w:rPr/>
      </w:pPr>
      <w:bookmarkStart w:colFirst="0" w:colLast="0" w:name="_heading=h.emdxvjih2njx" w:id="3"/>
      <w:bookmarkEnd w:id="3"/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Intervento: </w:t>
      </w:r>
      <w:r w:rsidDel="00000000" w:rsidR="00000000" w:rsidRPr="00000000">
        <w:rPr>
          <w:rtl w:val="0"/>
        </w:rPr>
        <w:t xml:space="preserve">Gestione del Palazzetto dello Sport “Palaverde” – Comune di Passirano</w:t>
      </w:r>
    </w:p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>
          <w:color w:val="000000"/>
          <w:sz w:val="28"/>
          <w:szCs w:val="28"/>
        </w:rPr>
      </w:pPr>
      <w:bookmarkStart w:colFirst="0" w:colLast="0" w:name="_heading=h.977uwd8kmx9f" w:id="4"/>
      <w:bookmarkEnd w:id="4"/>
      <w:r w:rsidDel="00000000" w:rsidR="00000000" w:rsidRPr="00000000">
        <w:rPr>
          <w:rFonts w:ascii="Aptos" w:cs="Aptos" w:eastAsia="Aptos" w:hAnsi="Aptos"/>
          <w:b w:val="1"/>
          <w:bCs w:val="1"/>
          <w:color w:val="000000"/>
          <w:sz w:val="28"/>
          <w:szCs w:val="28"/>
          <w:rtl w:val="0"/>
        </w:rPr>
        <w:t xml:space="preserve">Proponente: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ASD Dinamica Pensare Sport</w:t>
      </w:r>
    </w:p>
    <w:bookmarkStart w:colFirst="0" w:colLast="0" w:name="bookmark=kix.mloaytakyej" w:id="5"/>
    <w:bookmarkEnd w:id="5"/>
    <w:p w:rsidR="00000000" w:rsidDel="00000000" w:rsidP="00000000" w:rsidRDefault="00000000" w:rsidRPr="00000000" w14:paraId="00000004">
      <w:pPr>
        <w:pStyle w:val="Heading2"/>
        <w:spacing w:after="0" w:before="0" w:line="276" w:lineRule="auto"/>
        <w:rPr>
          <w:b w:val="1"/>
          <w:bCs w:val="1"/>
        </w:rPr>
      </w:pPr>
      <w:bookmarkStart w:colFirst="0" w:colLast="0" w:name="_heading=h.5c082vgf82h6" w:id="6"/>
      <w:bookmarkEnd w:id="6"/>
      <w:r w:rsidDel="00000000" w:rsidR="00000000" w:rsidRPr="00000000">
        <w:rPr>
          <w:rFonts w:ascii="Aptos" w:cs="Aptos" w:eastAsia="Aptos" w:hAnsi="Aptos"/>
          <w:b w:val="1"/>
          <w:bCs w:val="1"/>
          <w:color w:val="000000"/>
          <w:sz w:val="28"/>
          <w:szCs w:val="28"/>
          <w:rtl w:val="0"/>
        </w:rPr>
        <w:t xml:space="preserve">Riferimenti normativi: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D.Lgs. 38/2021 – Art. 5; D.Lgs. 36/2023 – Parte IV; Linee guida CONI e ANCI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kix.baes3kdwtdj5" w:id="7"/>
    <w:bookmarkEnd w:id="7"/>
    <w:p w:rsidR="00000000" w:rsidDel="00000000" w:rsidP="00000000" w:rsidRDefault="00000000" w:rsidRPr="00000000" w14:paraId="00000006">
      <w:pPr>
        <w:pStyle w:val="Heading1"/>
        <w:spacing w:after="0" w:before="0" w:line="276" w:lineRule="auto"/>
        <w:rPr/>
      </w:pPr>
      <w:bookmarkStart w:colFirst="0" w:colLast="0" w:name="_heading=h.fcfsmf2gzdzf" w:id="8"/>
      <w:bookmarkEnd w:id="8"/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1. PREMESSA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presente Programma Gestionale e Sportivo è redatto ai fini dell’adeguamento della proposta ex art. 5 D.Lgs. 38/2021 richiesta dal Comune di Passirano. Esso descrive in modo chiaro, completo e professionale: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il modello organizzativo della gestione dell’impianto;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la pianificazione delle attività sportive;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l’organizzazione degli spazi e degli orari;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 servizi offerti agli utenti;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il ruolo sociale e formativo dell’attività sportiva sul territorio.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documento riprende e sviluppa quanto già presentato in sede di prima proposta, integrandolo e potenziandolo in forma conforme alla normativa vigente.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b00u2r4xmkyr" w:id="9"/>
    <w:bookmarkEnd w:id="9"/>
    <w:p w:rsidR="00000000" w:rsidDel="00000000" w:rsidP="00000000" w:rsidRDefault="00000000" w:rsidRPr="00000000" w14:paraId="0000000F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bCs w:val="1"/>
          <w:sz w:val="32"/>
          <w:szCs w:val="32"/>
        </w:rPr>
      </w:pPr>
      <w:bookmarkStart w:colFirst="0" w:colLast="0" w:name="_heading=h.ph7el0249zk7" w:id="10"/>
      <w:bookmarkEnd w:id="10"/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2. OBIETTIVI DELLA GESTIONE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gestione dell’impianto da parte di ASD Dinamica Pensare Sport si propone di perseguire diversi obiettivi fondamentali. In primo luogo, si impegna a garantire un utilizzo degli spazi sportivi ordinato, sicuro e ottimizzato, in modo da offrire a tutti gli utenti un ambiente funzionale e protetto. Parallelamente, l’associazione intende promuovere attività sportive continuative, caratterizzate da elevata qualità e accessibilità, affinché chiunque possa partecipare e beneficiare dei programmi offerti. Un’attenzione particolare viene rivolta alla pratica sportiva giovanile e allo sviluppo delle discipline di base, favorendo così la crescita tecnica e personale dei più giovani. Allo stesso tempo, ASD Dinamica Pensare Sport considera lo sport uno strumento prezioso di inclusione sociale e di formazione, capace di trasmettere valori fondamentali come collaborazione, rispetto e impegno. Infine, l’associazione si propone di valorizzare l’impianto comunale come bene pubblico, rendendolo un punto di riferimento per tutta la cittadinanza.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yuenvkd3o6hr" w:id="11"/>
    <w:bookmarkEnd w:id="11"/>
    <w:p w:rsidR="00000000" w:rsidDel="00000000" w:rsidP="00000000" w:rsidRDefault="00000000" w:rsidRPr="00000000" w14:paraId="00000012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3. MODELLO ORGANIZZATIVO DELLA GESTIONE</w:t>
      </w:r>
    </w:p>
    <w:bookmarkStart w:colFirst="0" w:colLast="0" w:name="bookmark=id.r79xw0dmn1vf" w:id="12"/>
    <w:bookmarkEnd w:id="12"/>
    <w:p w:rsidR="00000000" w:rsidDel="00000000" w:rsidP="00000000" w:rsidRDefault="00000000" w:rsidRPr="00000000" w14:paraId="00000013">
      <w:pPr>
        <w:pStyle w:val="Heading3"/>
        <w:rPr/>
      </w:pPr>
      <w:r w:rsidDel="00000000" w:rsidR="00000000" w:rsidRPr="00000000">
        <w:rPr>
          <w:rtl w:val="0"/>
        </w:rPr>
        <w:t xml:space="preserve">3.1 Soggetto gestore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soggetto proponente è ASD Dinamica Pensare Sport, associazione sportiva dilettantistica con esperienza pluriennale nell’organizzazione di attività sportive sul territorio franciacortino.</w:t>
      </w:r>
    </w:p>
    <w:bookmarkStart w:colFirst="0" w:colLast="0" w:name="bookmark=id.i4170nhf29yt" w:id="13"/>
    <w:bookmarkEnd w:id="13"/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bCs w:val="1"/>
          <w:rtl w:val="0"/>
        </w:rPr>
        <w:t xml:space="preserve">3.1.1 Continuità gestionale e conoscenza dell’utenza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L’ASD propone un modello di gestione fondato sulla continuità operativa: i soggetti individuati per la direzione, il coordinamento e la conduzione dei corsi sono gli stessi professionisti che attualmente insegnano e seguono le attività della palestra e dell’impianto. Ciò garantisce una conoscenza diretta e aggiornata dell’utenza, delle esigenze specifiche dei diversi gruppi, della programmazione già in essere, nonché delle caratteristiche logistiche e funzionali delle strutture. La presa in carico della gestione potrà quindi avvenire senza interruzioni, assicurando stabilità, continuità dei percorsi sportivi, mantenimento degli standard qualitativi e un immediato allineamento alle procedure organizzative e di sicurezza dell’impianto.</w:t>
      </w:r>
    </w:p>
    <w:p w:rsidR="00000000" w:rsidDel="00000000" w:rsidP="00000000" w:rsidRDefault="00000000" w:rsidRPr="00000000" w14:paraId="00000017">
      <w:pPr>
        <w:pStyle w:val="Heading3"/>
        <w:rPr/>
      </w:pPr>
      <w:r w:rsidDel="00000000" w:rsidR="00000000" w:rsidRPr="00000000">
        <w:rPr>
          <w:rtl w:val="0"/>
        </w:rPr>
        <w:t xml:space="preserve">3.2 Assetto organizzativo interno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Direzione Tecnica: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responsabile della pianificazione dei corsi e delle attività.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Coordinamento di impianto: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gestione orari, turnazioni e supervisione attività.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Istruttori qualificati: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laureati in scienze motorie, tecnici federali e collaboratori sportivi.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Personale di supporto: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addetti all’apertura/chiusura, sorveglianza e gestione presenze.</w:t>
      </w:r>
      <w:r w:rsidDel="00000000" w:rsidR="00000000" w:rsidRPr="00000000">
        <w:rPr>
          <w:rtl w:val="0"/>
        </w:rPr>
      </w:r>
    </w:p>
    <w:bookmarkStart w:colFirst="0" w:colLast="0" w:name="bookmark=id.j1xp3pyrc37f" w:id="14"/>
    <w:bookmarkEnd w:id="14"/>
    <w:p w:rsidR="00000000" w:rsidDel="00000000" w:rsidP="00000000" w:rsidRDefault="00000000" w:rsidRPr="00000000" w14:paraId="0000001C">
      <w:pPr>
        <w:pStyle w:val="Heading3"/>
        <w:rPr/>
      </w:pPr>
      <w:r w:rsidDel="00000000" w:rsidR="00000000" w:rsidRPr="00000000">
        <w:rPr>
          <w:rtl w:val="0"/>
        </w:rPr>
        <w:t xml:space="preserve">3.3 Modalità di gestione dell’impianto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gestione prevede: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utilizzo principale da parte dell’ASD per le attività istituzionali;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concessione di fasce orarie ad altre associazioni sportive;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accesso a scuole, gruppi comunali e attività sociali;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gestione coordinata degli spogliatoi in rapporto agli orari di utilizzo degli spazi.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7fd2v7ddgrm1" w:id="15"/>
    <w:bookmarkEnd w:id="15"/>
    <w:p w:rsidR="00000000" w:rsidDel="00000000" w:rsidP="00000000" w:rsidRDefault="00000000" w:rsidRPr="00000000" w14:paraId="00000024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4. ORGANIZZAZIONE DELLE ATTIVITÀ SPORTIVE</w:t>
      </w:r>
    </w:p>
    <w:bookmarkStart w:colFirst="0" w:colLast="0" w:name="bookmark=id.10mle7tkih1s" w:id="16"/>
    <w:bookmarkEnd w:id="16"/>
    <w:p w:rsidR="00000000" w:rsidDel="00000000" w:rsidP="00000000" w:rsidRDefault="00000000" w:rsidRPr="00000000" w14:paraId="00000025">
      <w:pPr>
        <w:pStyle w:val="Heading3"/>
        <w:rPr/>
      </w:pPr>
      <w:r w:rsidDel="00000000" w:rsidR="00000000" w:rsidRPr="00000000">
        <w:rPr>
          <w:rtl w:val="0"/>
        </w:rPr>
        <w:t xml:space="preserve">4.1 Attività principali dell’ASD Dinamica Pensare Sport (versione potenziata)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programma si basa sul progetto sportivo già attivo e consolidato, integrato con un’offerta multidisciplinare strutturata e con servizi a elevato valore tecnico, comprendente: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Pattinaggio artistico a rotelle – alto livello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Corsi e allenamenti di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alto profilo tecnico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Allenatore Federale di III livello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Percorsi per livelli (avviamento, base, intermedio, avanzato/agonistico) con programmazione annuale.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Allenamenti tecnici, coreografici e atletici: lavoro su tecnica, elementi, musicalità, performance.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Stage intensivi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periodici e sessioni di preparazione mirata in vista di saggi e competizioni.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Lezioni individuali e di gruppo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 progressioni personalizzate e monitoraggio dei miglioramenti.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Ginnastica artistica-alto livello e ginnastica propedeutica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Percorsi di ginnastica artistica per diverse fasce d’età e livelli.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Ginnastica propedeutica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attività motoria di supporto per sviluppo coordinativo, mobilità e prevenzione.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Danza e discipline coreutiche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Danza classica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ballerine professioniste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 impostazione tecnica e didattica di livello e progressione per età/livelli.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Hip hop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percorsi dedicati e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preparazione di spettacoli di alto livello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(crew, performance, saggi ed eventi), con laboratori coreografici.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D) Benessere – prevenzione – salute (tutte le età)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Ginnastica correttiva e posturale: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percorsi per postura, rachide, compensi muscolari e prevenzione; lavoro mirato e progressivo.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Ginnastica dolce per la terza età: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mobilità, equilibrio, rinforzo leggero, prevenzione cadute, benessere e socialità.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E) Preparazione fisica e allenamento funzionale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Crosstraining / functional training: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sviluppo di forza, resistenza e mobilità con livelli modulabili (base/intermedio/avanzato), anche in modalità small-group.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Sessioni di preparazione fisica generale e specifica in funzione delle discipline praticate.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F) Allenamenti personalizzati con istruttori qualificati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Allenamenti personalizzati (individuali o micro-gruppi) con istruttori qualificati: definizione obiettivi, schede, progressioni e monitoraggio.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Percorsi orientati a performance sportiva, benessere, prevenzione infortuni e rieducazione al movimento.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G) Programmazione per fasce d’età e livelli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Corsi sportivi o di avviamento per diverse fasce d’età (5–7 anni, 8–10 anni, 11–14 anni, over 14), con livelli progressivi.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H) Yoga e Pilates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- Corsi di Yoga per tutte le età e livelli: lavoro su mobilità, forza, equilibrio, respirazione e consapevolezza corporea, con percorsi progressivi.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- Pilates (matwork): rinforzo del core, controllo del movimento, postura e prevenzione degli infortuni; adatto sia come attività principale sia come supporto alle discipline sportive.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- Lezioni di gruppo e possibilità di percorsi personalizzati, orientati al benessere, recupero funzionale e miglioramento della qualità del movimento.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bookmarkStart w:colFirst="0" w:colLast="0" w:name="bookmark=id.hmiicempnayw" w:id="17"/>
    <w:bookmarkEnd w:id="17"/>
    <w:p w:rsidR="00000000" w:rsidDel="00000000" w:rsidP="00000000" w:rsidRDefault="00000000" w:rsidRPr="00000000" w14:paraId="0000004D">
      <w:pPr>
        <w:pStyle w:val="Heading3"/>
        <w:rPr/>
      </w:pPr>
      <w:r w:rsidDel="00000000" w:rsidR="00000000" w:rsidRPr="00000000">
        <w:rPr>
          <w:rtl w:val="0"/>
        </w:rPr>
        <w:t xml:space="preserve">4.2 Attività collaterali e integrative (con integrazioni)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Attività di avviamento allo sport per bambini in età scolare.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Collaborazioni con scuole primarie e secondarie del Comune.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Sessioni di preparazione fisica generale e moduli tematici (mobilità, core, prevenzione).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Attività motorie per adulti e famiglie.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Periodo estivo (off season): allenamenti specialistici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144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calciatori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(forza, velocità, prevenzione infortuni, mobilità, core, reattività);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144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sciatori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(forza arti inferiori, stabilità, propriocezione, core, resistenza specifica). Tali attività saranno organizzate in cicli intensivi (settimanali/quindicinali) compatibili con la disponibilità dell’impianto.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Eventi di carattere medico-sportivo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di educazione alla salute: incontri informativi su prevenzione, postura e corretti carichi di allenamento, e giornate di valutazione funzionale/screening in raccordo con professionisti abilitati.</w:t>
      </w:r>
      <w:r w:rsidDel="00000000" w:rsidR="00000000" w:rsidRPr="00000000">
        <w:rPr>
          <w:rtl w:val="0"/>
        </w:rPr>
      </w:r>
    </w:p>
    <w:bookmarkStart w:colFirst="0" w:colLast="0" w:name="bookmark=id.47fqbc6l7smq" w:id="18"/>
    <w:bookmarkEnd w:id="18"/>
    <w:p w:rsidR="00000000" w:rsidDel="00000000" w:rsidP="00000000" w:rsidRDefault="00000000" w:rsidRPr="00000000" w14:paraId="00000056">
      <w:pPr>
        <w:pStyle w:val="Heading3"/>
        <w:rPr/>
      </w:pPr>
      <w:r w:rsidDel="00000000" w:rsidR="00000000" w:rsidRPr="00000000">
        <w:rPr>
          <w:rtl w:val="0"/>
        </w:rPr>
        <w:t xml:space="preserve">4.3 Attività di altre associazioni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Palaverde rappresenta uno spazio polifunzionale aperto e accessibile ad associazioni sportive del territorio. Oltre agli sport tradizionali, il Palaverde ospita discipline come arti marziali, ginnastica, basket, volley, danza e altre attività compatibili, garantendo così un’ampia varietà di proposte sportive. L’impianto è inoltre destinato a progetti scolastici e iniziative istituzionali, confermando il suo ruolo come punto di riferimento per la comunità e per la promozione di attività educative e formative.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775otlr7m136" w:id="19"/>
    <w:bookmarkEnd w:id="19"/>
    <w:p w:rsidR="00000000" w:rsidDel="00000000" w:rsidP="00000000" w:rsidRDefault="00000000" w:rsidRPr="00000000" w14:paraId="00000059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5. ORGANIZZAZIONE DEGLI SPAZI E DEGLI ORARI</w:t>
      </w:r>
    </w:p>
    <w:bookmarkStart w:colFirst="0" w:colLast="0" w:name="bookmark=id.gd97w95hmtf9" w:id="20"/>
    <w:bookmarkEnd w:id="20"/>
    <w:p w:rsidR="00000000" w:rsidDel="00000000" w:rsidP="00000000" w:rsidRDefault="00000000" w:rsidRPr="00000000" w14:paraId="0000005A">
      <w:pPr>
        <w:pStyle w:val="Heading3"/>
        <w:rPr/>
      </w:pPr>
      <w:r w:rsidDel="00000000" w:rsidR="00000000" w:rsidRPr="00000000">
        <w:rPr>
          <w:rtl w:val="0"/>
        </w:rPr>
        <w:t xml:space="preserve">5.1 Fasce orarie principali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gestione seguirà una programmazione settimanale strutturata: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Mattina: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disponibilità per scuole e progetti comunali;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Pomeriggio (fascia 16:00–21:00):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attività giovanili e corsi base;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Sera (21:00–23:00):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attività agonistiche e uso da parte di altre associazioni;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Weekend: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gare, stage, saggi, attività associative ed eventi.</w:t>
      </w:r>
    </w:p>
    <w:bookmarkStart w:colFirst="0" w:colLast="0" w:name="bookmark=id.zhse9l1nednx" w:id="21"/>
    <w:bookmarkEnd w:id="21"/>
    <w:p w:rsidR="00000000" w:rsidDel="00000000" w:rsidP="00000000" w:rsidRDefault="00000000" w:rsidRPr="00000000" w14:paraId="00000060">
      <w:pPr>
        <w:pStyle w:val="Heading3"/>
        <w:rPr/>
      </w:pPr>
      <w:r w:rsidDel="00000000" w:rsidR="00000000" w:rsidRPr="00000000">
        <w:rPr>
          <w:rtl w:val="0"/>
        </w:rPr>
        <w:t xml:space="preserve">5.2 Utilizzo spogliatoi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riqualificazione dei quattro spogliatoi consente: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gestione separata per uomini e donne;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distinzione tra gruppi piccoli e gruppi numerosi;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rotazione efficiente durante i picchi orari;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utilizzo dedicato per gare e manifestazioni.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irjk9kvf3srm" w:id="22"/>
    <w:bookmarkEnd w:id="22"/>
    <w:p w:rsidR="00000000" w:rsidDel="00000000" w:rsidP="00000000" w:rsidRDefault="00000000" w:rsidRPr="00000000" w14:paraId="00000067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6. QUALIFICAZIONE PROFESSIONALE DEL PERSONALE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istruttori impiegati dall’ASD saranno: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laureati in scienze motorie / tecnici federali FIHP/FISR o qualifiche equivalenti;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formati in metodologie per l’età evolutiva;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dotati di abilitazione al primo soccorso;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aggiornati tramite corsi annuali.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personale di supporto riceverà una formazione adeguata e mirata, con l’obiettivo di garantire la migliore gestione possibile dell’impianto sportivo. In particolare, sarà preparato sulle modalità di organizzazione e conduzione delle strutture, sulle procedure di sicurezza necessarie per tutelare tutti gli utenti e sull’accoglienza, così da assicurare un’esperienza positiva e sicura per chi frequenta l’impianto.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oq9oopsgabt2" w:id="23"/>
    <w:bookmarkEnd w:id="23"/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b w:val="1"/>
          <w:bCs w:val="1"/>
          <w:rtl w:val="0"/>
        </w:rPr>
        <w:t xml:space="preserve">6.1 Staff tecnico e organizzativo (curricula sintetici)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Lo staff tecnico-organizzativo del progetto è composto da professionisti qualificati, con competenze complementari e con esperienza diretta nella gestione e nella conduzione dei corsi dell’impianto, a ulteriore garanzia di continuità del servizio e qualità dell’offerta.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b w:val="1"/>
          <w:bCs w:val="1"/>
          <w:rtl w:val="0"/>
        </w:rPr>
        <w:t xml:space="preserve">FRANCESCO PEDRONI: </w:t>
      </w:r>
      <w:r w:rsidDel="00000000" w:rsidR="00000000" w:rsidRPr="00000000">
        <w:rPr>
          <w:rtl w:val="0"/>
        </w:rPr>
        <w:t xml:space="preserve">laureato in Scienze Motorie; Istruttore di Sala Fitness; Istruttore di ginnastica dolce per la terza età; Istruttore sport di squadra; Attestato di Allenatore di calcio UEFA C (FIGC).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b w:val="1"/>
          <w:bCs w:val="1"/>
          <w:rtl w:val="0"/>
        </w:rPr>
        <w:t xml:space="preserve">MASSIMO PEZZOTTI: </w:t>
      </w:r>
      <w:r w:rsidDel="00000000" w:rsidR="00000000" w:rsidRPr="00000000">
        <w:rPr>
          <w:rtl w:val="0"/>
        </w:rPr>
        <w:t xml:space="preserve">laureato in Scienze Motorie; Istruttore ginnastica dolce per la terza età; Istruttore di ginnastica posturale; Istruttore sala fitness.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b w:val="1"/>
          <w:bCs w:val="1"/>
          <w:rtl w:val="0"/>
        </w:rPr>
        <w:t xml:space="preserve">ELENA CORSINI: </w:t>
      </w:r>
      <w:r w:rsidDel="00000000" w:rsidR="00000000" w:rsidRPr="00000000">
        <w:rPr>
          <w:rtl w:val="0"/>
        </w:rPr>
        <w:t xml:space="preserve">laureata magistrale in Scienze e Tecniche delle Attività Motorie Preventive e Adattate; Tecnico societario di Ginnastica Artistica riconosciuto dalla Federazione Ginnastica d’Italia; Istruttrice di Fitness Musicale (CSEN); Istruttrice di Pilates.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b w:val="1"/>
          <w:bCs w:val="1"/>
          <w:rtl w:val="0"/>
        </w:rPr>
        <w:t xml:space="preserve">PAOLA PERANI: </w:t>
      </w:r>
      <w:r w:rsidDel="00000000" w:rsidR="00000000" w:rsidRPr="00000000">
        <w:rPr>
          <w:rtl w:val="0"/>
        </w:rPr>
        <w:t xml:space="preserve">Attestato CONI di Dirigente Sportivo; Tecnico Federale FISR di Pattinaggio Artistico; Attestato di Istruttore della terza età (Accademia del Fitness); Attestato di RSPP; Diploma di Ragioneria.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b w:val="1"/>
          <w:bCs w:val="1"/>
          <w:rtl w:val="0"/>
        </w:rPr>
        <w:t xml:space="preserve">FRANCESCO MARCHETTI: </w:t>
      </w:r>
      <w:r w:rsidDel="00000000" w:rsidR="00000000" w:rsidRPr="00000000">
        <w:rPr>
          <w:rtl w:val="0"/>
        </w:rPr>
        <w:t xml:space="preserve">Corso Sport e Salute e CSI – “Responsabile Safe Guarding”; Brevetto di Istruttore di Sala e Body Building (EPS riconosciuto CONI); Attestato di Sicurezza sul Lavoro.</w:t>
      </w:r>
    </w:p>
    <w:p w:rsidR="00000000" w:rsidDel="00000000" w:rsidP="00000000" w:rsidRDefault="00000000" w:rsidRPr="00000000" w14:paraId="00000076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7. SICUREZZA E VIGILANZA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gestore assicurerà: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presenza di un responsabile di impianto durante le fasce di apertura;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applicazione dei protocolli di sicurezza e igiene;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sorveglianza degli accessi e controllo presenze;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rispetto delle normative vigenti.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dhd7zbh9zezn" w:id="24"/>
    <w:bookmarkEnd w:id="24"/>
    <w:p w:rsidR="00000000" w:rsidDel="00000000" w:rsidP="00000000" w:rsidRDefault="00000000" w:rsidRPr="00000000" w14:paraId="0000007D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8. COLLABORAZIONI E RETE TERRITORIALE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gestione dell’impianto sarà arricchita e potenziata da una serie di collaborazioni e iniziative volte a rafforzare il legame con il territorio. In particolare, verranno sviluppati rapporti di collaborazione con le scuole locali, favorendo progetti educativi e sportivi per gli studenti, e con le altre associazioni sportive comunali, promuovendo sinergie e scambi di esperienze. L’attività della gestione si estenderà inoltre alla partecipazione a progetti promossi dal Comune, contribuendo allo sviluppo di iniziative di interesse pubblico. Infine, l’impianto sarà sede di eventi e attività sociali, come festival, saggi e cerimonie sportive, consolidando così il suo ruolo di punto di riferimento per la comunità.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oic0go3yhiah" w:id="25"/>
    <w:bookmarkEnd w:id="25"/>
    <w:p w:rsidR="00000000" w:rsidDel="00000000" w:rsidP="00000000" w:rsidRDefault="00000000" w:rsidRPr="00000000" w14:paraId="00000080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9. ACCESSIBILITÀ E INCLUSIONE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programma gestionale intende: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garantire accesso anche a famiglie in difficoltà (riduzioni o sostegni);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favorire l’inclusione di bambini con esigenze educative speciali;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sviluppare iniziative sportive aperte alla comunità.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ybsroc7zvryk" w:id="26"/>
    <w:bookmarkEnd w:id="26"/>
    <w:p w:rsidR="00000000" w:rsidDel="00000000" w:rsidP="00000000" w:rsidRDefault="00000000" w:rsidRPr="00000000" w14:paraId="00000086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10. MONITORAGGIO E REPORTISTICA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si impegna a: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fornire report periodici al Comune sulle attività svolte;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comunicare partecipazione, ore di utilizzo e progetti attivati;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mantenere trasparenza nella gestione.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a1ud4p1o4wcy" w:id="27"/>
    <w:bookmarkEnd w:id="27"/>
    <w:p w:rsidR="00000000" w:rsidDel="00000000" w:rsidP="00000000" w:rsidRDefault="00000000" w:rsidRPr="00000000" w14:paraId="0000008C">
      <w:pPr>
        <w:pStyle w:val="Heading2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11. CONCLUSIONI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Programma Gestionale e Sportivo presentato si caratterizza per la sua coerenza con le linee guida nazionali relative all’impiantistica sportiva, garantendo al contempo un approccio sostenibile e rispettoso del territorio. Il programma è strutturato in modo da assicurare continuità, qualità e sicurezza del servizio offerto, integrandosi pienamente con il progetto di riqualificazione degli spogliatoi. In questo modo, ASD Dinamica Pensare Sport conferma il proprio impegno a valorizzare il Palaverde, rendendolo un centro sportivo di riferimento per l’intera comunità di Passirano e per i paesi limitrofi.</w:t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  <w:jc w:val="center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BodyText">
    <w:name w:val="Body Text"/>
    <w:basedOn w:val="Normal"/>
    <w:link w:val="BodyTextChar"/>
    <w:qFormat w:val="1"/>
    <w:pPr>
      <w:spacing w:after="180" w:before="180"/>
    </w:pPr>
  </w:style>
  <w:style w:type="paragraph" w:styleId="FirstParagraph" w:customStyle="1">
    <w:name w:val="First Paragraph"/>
    <w:basedOn w:val="BodyText"/>
    <w:next w:val="BodyText"/>
    <w:qFormat w:val="1"/>
  </w:style>
  <w:style w:type="paragraph" w:styleId="Compact" w:customStyle="1">
    <w:name w:val="Compact"/>
    <w:basedOn w:val="BodyText"/>
    <w:qFormat w:val="1"/>
    <w:pPr>
      <w:spacing w:after="36" w:before="36"/>
    </w:pPr>
  </w:style>
  <w:style w:type="character" w:styleId="TitleChar" w:customStyle="1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BodyText"/>
    <w:qFormat w:val="1"/>
    <w:pPr>
      <w:keepNext w:val="1"/>
      <w:keepLines w:val="1"/>
      <w:jc w:val="center"/>
    </w:pPr>
  </w:style>
  <w:style w:type="paragraph" w:styleId="Date">
    <w:name w:val="Date"/>
    <w:next w:val="BodyText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"/>
    <w:next w:val="BodyText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 w:val="1"/>
    <w:pPr/>
    <w:rPr/>
  </w:style>
  <w:style w:type="paragraph" w:styleId="Heading7">
    <w:name w:val="heading 7"/>
    <w:basedOn w:val="Normal"/>
    <w:next w:val="BodyText"/>
    <w:link w:val="Heading7Char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BodyText"/>
    <w:link w:val="Heading8Char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BodyText"/>
    <w:link w:val="Heading9Char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Heading1Char" w:customStyle="1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BlockText">
    <w:name w:val="Block Text"/>
    <w:basedOn w:val="BodyText"/>
    <w:next w:val="BodyText"/>
    <w:uiPriority w:val="9"/>
    <w:unhideWhenUsed w:val="1"/>
    <w:qFormat w:val="1"/>
    <w:pPr>
      <w:spacing w:after="100" w:before="100"/>
      <w:ind w:left="480" w:right="480" w:firstLine="0"/>
    </w:pPr>
  </w:style>
  <w:style w:type="paragraph" w:styleId="FootnoteText">
    <w:name w:val="Footnote Text"/>
    <w:basedOn w:val="Normal"/>
    <w:next w:val="FootnoteText"/>
    <w:uiPriority w:val="9"/>
    <w:unhideWhenUsed w:val="1"/>
    <w:qFormat w:val="1"/>
  </w:style>
  <w:style w:type="paragraph" w:styleId="FootnoteBlockText">
    <w:name w:val="Footnote Block Text"/>
    <w:basedOn w:val="FootnoteText"/>
    <w:next w:val="FootnoteText"/>
    <w:uiPriority w:val="9"/>
    <w:unhideWhenUsed w:val="1"/>
    <w:qFormat w:val="1"/>
    <w:pPr>
      <w:spacing w:after="100" w:before="100"/>
      <w:ind w:left="480" w:right="480" w:firstLine="0"/>
    </w:pPr>
  </w:style>
  <w:style w:type="character" w:styleId="DefaultParagraphFont" w:default="1">
    <w:name w:val="Default Paragraph Font"/>
    <w:semiHidden w:val="1"/>
    <w:unhideWhenUsed w:val="1"/>
  </w:style>
  <w:style w:type="table" w:styleId="Table" w:default="1">
    <w:name w:val="Table"/>
    <w:basedOn w:val="TableNormal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  <w:tblInd w:w="0.0" w:type="dxa"/>
      </w:tblPr>
      <w:trPr>
        <w:jc w:val="left"/>
      </w:trPr>
      <w:tcPr>
        <w:tcBorders>
          <w:bottom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"/>
  </w:style>
  <w:style w:type="paragraph" w:styleId="Caption">
    <w:name w:val="Caption"/>
    <w:basedOn w:val="Normal"/>
    <w:link w:val="BodyTextChar"/>
    <w:pPr>
      <w:spacing w:after="120" w:before="0"/>
    </w:pPr>
    <w:rPr>
      <w:i w:val="1"/>
    </w:rPr>
  </w:style>
  <w:style w:type="paragraph" w:styleId="TableCaption" w:customStyle="1">
    <w:name w:val="Table Caption"/>
    <w:basedOn w:val="Caption"/>
    <w:pPr>
      <w:keepNext w:val="1"/>
    </w:pPr>
  </w:style>
  <w:style w:type="paragraph" w:styleId="ImageCaption" w:customStyle="1">
    <w:name w:val="Image Caption"/>
    <w:basedOn w:val="Caption"/>
  </w:style>
  <w:style w:type="paragraph" w:styleId="Figure" w:customStyle="1">
    <w:name w:val="Figure"/>
    <w:basedOn w:val="Normal"/>
  </w:style>
  <w:style w:type="paragraph" w:styleId="CaptionedFigure" w:customStyle="1">
    <w:name w:val="Captioned Figure"/>
    <w:basedOn w:val="Figure"/>
    <w:pPr>
      <w:keepNext w:val="1"/>
    </w:pPr>
  </w:style>
  <w:style w:type="character" w:styleId="BodyTextChar" w:customStyle="1">
    <w:name w:val="Body Text Char"/>
    <w:basedOn w:val="DefaultParagraphFont"/>
    <w:link w:val="BodyText"/>
  </w:style>
  <w:style w:type="character" w:styleId="VerbatimChar" w:customStyle="1">
    <w:name w:val="Verbatim Char"/>
    <w:basedOn w:val="BodyTextChar"/>
    <w:rPr>
      <w:rFonts w:ascii="Consolas" w:hAnsi="Consolas"/>
      <w:sz w:val="22"/>
    </w:rPr>
  </w:style>
  <w:style w:type="character" w:styleId="SectionNumber" w:customStyle="1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 w:val="1"/>
    <w:qFormat w:val="1"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val="365f91" w:themeColor="accent1" w:themeShade="0000BF"/>
    </w:rPr>
  </w:style>
  <w:style w:type="paragraph" w:styleId="SourceCode" w:customStyle="1">
    <w:name w:val="Source Code"/>
    <w:basedOn w:val="Normal"/>
    <w:link w:val="VerbatimChar"/>
    <w:pPr>
      <w:wordWrap w:val="0"/>
    </w:pPr>
  </w:style>
  <w:style w:type="character" w:styleId="KeywordTok" w:customStyle="1">
    <w:name w:val="KeywordTok"/>
    <w:basedOn w:val="VerbatimChar"/>
    <w:rPr>
      <w:b w:val="1"/>
      <w:color w:val="007020"/>
    </w:rPr>
  </w:style>
  <w:style w:type="character" w:styleId="DataTypeTok" w:customStyle="1">
    <w:name w:val="DataTypeTok"/>
    <w:basedOn w:val="VerbatimChar"/>
    <w:rPr>
      <w:color w:val="902000"/>
    </w:rPr>
  </w:style>
  <w:style w:type="character" w:styleId="DecValTok" w:customStyle="1">
    <w:name w:val="DecValTok"/>
    <w:basedOn w:val="VerbatimChar"/>
    <w:rPr>
      <w:color w:val="40a070"/>
    </w:rPr>
  </w:style>
  <w:style w:type="character" w:styleId="BaseNTok" w:customStyle="1">
    <w:name w:val="BaseNTok"/>
    <w:basedOn w:val="VerbatimChar"/>
    <w:rPr>
      <w:color w:val="40a070"/>
    </w:rPr>
  </w:style>
  <w:style w:type="character" w:styleId="FloatTok" w:customStyle="1">
    <w:name w:val="FloatTok"/>
    <w:basedOn w:val="VerbatimChar"/>
    <w:rPr>
      <w:color w:val="40a070"/>
    </w:rPr>
  </w:style>
  <w:style w:type="character" w:styleId="ConstantTok" w:customStyle="1">
    <w:name w:val="ConstantTok"/>
    <w:basedOn w:val="VerbatimChar"/>
    <w:rPr>
      <w:color w:val="880000"/>
    </w:rPr>
  </w:style>
  <w:style w:type="character" w:styleId="CharTok" w:customStyle="1">
    <w:name w:val="CharTok"/>
    <w:basedOn w:val="VerbatimChar"/>
    <w:rPr>
      <w:color w:val="4070a0"/>
    </w:rPr>
  </w:style>
  <w:style w:type="character" w:styleId="SpecialCharTok" w:customStyle="1">
    <w:name w:val="SpecialCharTok"/>
    <w:basedOn w:val="VerbatimChar"/>
    <w:rPr>
      <w:color w:val="4070a0"/>
    </w:rPr>
  </w:style>
  <w:style w:type="character" w:styleId="StringTok" w:customStyle="1">
    <w:name w:val="StringTok"/>
    <w:basedOn w:val="VerbatimChar"/>
    <w:rPr>
      <w:color w:val="4070a0"/>
    </w:rPr>
  </w:style>
  <w:style w:type="character" w:styleId="VerbatimStringTok" w:customStyle="1">
    <w:name w:val="VerbatimStringTok"/>
    <w:basedOn w:val="VerbatimChar"/>
    <w:rPr>
      <w:color w:val="4070a0"/>
    </w:rPr>
  </w:style>
  <w:style w:type="character" w:styleId="SpecialStringTok" w:customStyle="1">
    <w:name w:val="SpecialStringTok"/>
    <w:basedOn w:val="VerbatimChar"/>
    <w:rPr>
      <w:color w:val="bb6688"/>
    </w:rPr>
  </w:style>
  <w:style w:type="character" w:styleId="ImportTok" w:customStyle="1">
    <w:name w:val="ImportTok"/>
    <w:basedOn w:val="VerbatimChar"/>
    <w:rPr>
      <w:b w:val="1"/>
      <w:color w:val="008000"/>
    </w:rPr>
  </w:style>
  <w:style w:type="character" w:styleId="CommentTok" w:customStyle="1">
    <w:name w:val="CommentTok"/>
    <w:basedOn w:val="VerbatimChar"/>
    <w:rPr>
      <w:i w:val="1"/>
      <w:color w:val="60a0b0"/>
    </w:rPr>
  </w:style>
  <w:style w:type="character" w:styleId="DocumentationTok" w:customStyle="1">
    <w:name w:val="DocumentationTok"/>
    <w:basedOn w:val="VerbatimChar"/>
    <w:rPr>
      <w:i w:val="1"/>
      <w:color w:val="ba2121"/>
    </w:rPr>
  </w:style>
  <w:style w:type="character" w:styleId="AnnotationTok" w:customStyle="1">
    <w:name w:val="AnnotationTok"/>
    <w:basedOn w:val="VerbatimChar"/>
    <w:rPr>
      <w:b w:val="1"/>
      <w:i w:val="1"/>
      <w:color w:val="60a0b0"/>
    </w:rPr>
  </w:style>
  <w:style w:type="character" w:styleId="CommentVarTok" w:customStyle="1">
    <w:name w:val="CommentVarTok"/>
    <w:basedOn w:val="VerbatimChar"/>
    <w:rPr>
      <w:b w:val="1"/>
      <w:i w:val="1"/>
      <w:color w:val="60a0b0"/>
    </w:rPr>
  </w:style>
  <w:style w:type="character" w:styleId="OtherTok" w:customStyle="1">
    <w:name w:val="OtherTok"/>
    <w:basedOn w:val="VerbatimChar"/>
    <w:rPr>
      <w:color w:val="007020"/>
    </w:rPr>
  </w:style>
  <w:style w:type="character" w:styleId="FunctionTok" w:customStyle="1">
    <w:name w:val="FunctionTok"/>
    <w:basedOn w:val="VerbatimChar"/>
    <w:rPr>
      <w:color w:val="06287e"/>
    </w:rPr>
  </w:style>
  <w:style w:type="character" w:styleId="VariableTok" w:customStyle="1">
    <w:name w:val="VariableTok"/>
    <w:basedOn w:val="VerbatimChar"/>
    <w:rPr>
      <w:color w:val="19177c"/>
    </w:rPr>
  </w:style>
  <w:style w:type="character" w:styleId="ControlFlowTok" w:customStyle="1">
    <w:name w:val="ControlFlowTok"/>
    <w:basedOn w:val="VerbatimChar"/>
    <w:rPr>
      <w:b w:val="1"/>
      <w:color w:val="007020"/>
    </w:rPr>
  </w:style>
  <w:style w:type="character" w:styleId="OperatorTok" w:customStyle="1">
    <w:name w:val="OperatorTok"/>
    <w:basedOn w:val="VerbatimChar"/>
    <w:rPr>
      <w:color w:val="666666"/>
    </w:rPr>
  </w:style>
  <w:style w:type="character" w:styleId="BuiltInTok" w:customStyle="1">
    <w:name w:val="BuiltInTok"/>
    <w:basedOn w:val="VerbatimChar"/>
    <w:rPr>
      <w:color w:val="008000"/>
    </w:rPr>
  </w:style>
  <w:style w:type="character" w:styleId="ExtensionTok" w:customStyle="1">
    <w:name w:val="ExtensionTok"/>
    <w:basedOn w:val="VerbatimChar"/>
    <w:rPr/>
  </w:style>
  <w:style w:type="character" w:styleId="PreprocessorTok" w:customStyle="1">
    <w:name w:val="PreprocessorTok"/>
    <w:basedOn w:val="VerbatimChar"/>
    <w:rPr>
      <w:color w:val="bc7a00"/>
    </w:rPr>
  </w:style>
  <w:style w:type="character" w:styleId="AttributeTok" w:customStyle="1">
    <w:name w:val="AttributeTok"/>
    <w:basedOn w:val="VerbatimChar"/>
    <w:rPr>
      <w:color w:val="7d9029"/>
    </w:rPr>
  </w:style>
  <w:style w:type="character" w:styleId="RegionMarkerTok" w:customStyle="1">
    <w:name w:val="RegionMarkerTok"/>
    <w:basedOn w:val="VerbatimChar"/>
    <w:rPr/>
  </w:style>
  <w:style w:type="character" w:styleId="InformationTok" w:customStyle="1">
    <w:name w:val="InformationTok"/>
    <w:basedOn w:val="VerbatimChar"/>
    <w:rPr>
      <w:b w:val="1"/>
      <w:i w:val="1"/>
      <w:color w:val="60a0b0"/>
    </w:rPr>
  </w:style>
  <w:style w:type="character" w:styleId="WarningTok" w:customStyle="1">
    <w:name w:val="WarningTok"/>
    <w:basedOn w:val="VerbatimChar"/>
    <w:rPr>
      <w:b w:val="1"/>
      <w:i w:val="1"/>
      <w:color w:val="60a0b0"/>
    </w:rPr>
  </w:style>
  <w:style w:type="character" w:styleId="AlertTok" w:customStyle="1">
    <w:name w:val="AlertTok"/>
    <w:basedOn w:val="VerbatimChar"/>
    <w:rPr>
      <w:b w:val="1"/>
      <w:color w:val="ff0000"/>
    </w:rPr>
  </w:style>
  <w:style w:type="character" w:styleId="ErrorTok" w:customStyle="1">
    <w:name w:val="ErrorTok"/>
    <w:basedOn w:val="VerbatimChar"/>
    <w:rPr>
      <w:b w:val="1"/>
      <w:color w:val="ff0000"/>
    </w:rPr>
  </w:style>
  <w:style w:type="character" w:styleId="NormalTok" w:customStyle="1">
    <w:name w:val="NormalTok"/>
    <w:basedOn w:val="VerbatimChar"/>
    <w:rPr/>
  </w:style>
  <w:style w:type="paragraph" w:styleId="Subtitle">
    <w:name w:val="Subtitle"/>
    <w:basedOn w:val="Normal"/>
    <w:next w:val="Normal"/>
    <w:pPr>
      <w:spacing w:after="80" w:line="24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jL3MWrkMoaTfpnOE/AXQtICw/g==">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2026-01-29T20:39:03Z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